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20B53" w:rsidRDefault="00320B53" w:rsidP="001D38E8">
      <w:pPr>
        <w:pStyle w:val="Ttulo1"/>
        <w:rPr>
          <w:lang w:val="es-ES"/>
        </w:rPr>
      </w:pPr>
      <w:r>
        <w:rPr>
          <w:lang w:val="es-ES"/>
        </w:rPr>
        <w:t xml:space="preserve">Resolución </w:t>
      </w:r>
      <w:r w:rsidR="00685F32">
        <w:rPr>
          <w:lang w:val="es-ES"/>
        </w:rPr>
        <w:t>Ú</w:t>
      </w:r>
      <w:r>
        <w:rPr>
          <w:lang w:val="es-ES"/>
        </w:rPr>
        <w:t>nica Tributaria</w:t>
      </w:r>
      <w:r w:rsidR="0052116A">
        <w:rPr>
          <w:lang w:val="es-ES"/>
        </w:rPr>
        <w:t xml:space="preserve"> de la DIAN</w:t>
      </w:r>
      <w:r>
        <w:rPr>
          <w:lang w:val="es-ES"/>
        </w:rPr>
        <w:t xml:space="preserve"> recopi</w:t>
      </w:r>
      <w:r w:rsidR="0052116A">
        <w:rPr>
          <w:lang w:val="es-ES"/>
        </w:rPr>
        <w:t xml:space="preserve">la en un solo documento de 443 páginas los textos de </w:t>
      </w:r>
      <w:r w:rsidR="00CA2405">
        <w:rPr>
          <w:lang w:val="es-ES"/>
        </w:rPr>
        <w:t>69</w:t>
      </w:r>
      <w:r w:rsidR="0052116A">
        <w:rPr>
          <w:lang w:val="es-ES"/>
        </w:rPr>
        <w:t xml:space="preserve"> resoluciones diferentes</w:t>
      </w:r>
    </w:p>
    <w:p w:rsidR="00402441" w:rsidRPr="00402441" w:rsidRDefault="00402441" w:rsidP="00402441">
      <w:pPr>
        <w:rPr>
          <w:color w:val="FF0000"/>
          <w:lang w:val="es-ES"/>
        </w:rPr>
      </w:pPr>
      <w:r w:rsidRPr="00402441">
        <w:rPr>
          <w:color w:val="FF0000"/>
          <w:lang w:val="es-ES"/>
        </w:rPr>
        <w:t>(elaborado en septiembre 30 de 2025)</w:t>
      </w:r>
    </w:p>
    <w:p w:rsidR="00CA2405" w:rsidRDefault="00CA2405">
      <w:pPr>
        <w:rPr>
          <w:lang w:val="es-ES"/>
        </w:rPr>
      </w:pPr>
      <w:r>
        <w:rPr>
          <w:noProof/>
          <w:lang w:val="es-ES"/>
        </w:rPr>
        <mc:AlternateContent>
          <mc:Choice Requires="wps">
            <w:drawing>
              <wp:anchor distT="0" distB="0" distL="114300" distR="114300" simplePos="0" relativeHeight="251659264" behindDoc="0" locked="0" layoutInCell="1" allowOverlap="1">
                <wp:simplePos x="0" y="0"/>
                <wp:positionH relativeFrom="column">
                  <wp:posOffset>-29002</wp:posOffset>
                </wp:positionH>
                <wp:positionV relativeFrom="paragraph">
                  <wp:posOffset>78331</wp:posOffset>
                </wp:positionV>
                <wp:extent cx="5623132" cy="1239140"/>
                <wp:effectExtent l="0" t="0" r="15875" b="18415"/>
                <wp:wrapNone/>
                <wp:docPr id="542067976" name="Cuadro de texto 1"/>
                <wp:cNvGraphicFramePr/>
                <a:graphic xmlns:a="http://schemas.openxmlformats.org/drawingml/2006/main">
                  <a:graphicData uri="http://schemas.microsoft.com/office/word/2010/wordprocessingShape">
                    <wps:wsp>
                      <wps:cNvSpPr txBox="1"/>
                      <wps:spPr>
                        <a:xfrm>
                          <a:off x="0" y="0"/>
                          <a:ext cx="5623132" cy="1239140"/>
                        </a:xfrm>
                        <a:prstGeom prst="rect">
                          <a:avLst/>
                        </a:prstGeom>
                        <a:solidFill>
                          <a:schemeClr val="lt1"/>
                        </a:solidFill>
                        <a:ln w="6350">
                          <a:solidFill>
                            <a:prstClr val="black"/>
                          </a:solidFill>
                        </a:ln>
                      </wps:spPr>
                      <wps:txbx>
                        <w:txbxContent>
                          <w:p w:rsidR="00CA2405" w:rsidRPr="00CA2405" w:rsidRDefault="00CA2405">
                            <w:pPr>
                              <w:rPr>
                                <w:lang w:val="es-ES"/>
                              </w:rPr>
                            </w:pPr>
                            <w:r>
                              <w:rPr>
                                <w:lang w:val="es-ES"/>
                              </w:rPr>
                              <w:t>La nueva Resolución 227 de septiembre 23 de 2025 recopila los 733 artículos de unas 69 resoluciones de temas tributarios que se habían expedido entre los años 1999 y 2025. Entre las resoluciones recopiladas figuran varias de mucha importancia como la 162 de octubre de 2023 con la cual se exigió la exógena de los años gravables 2024 y siguientes, y la 165 de noviembre de 2023 con la cual se reguló la facturación electrónica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1" o:spid="_x0000_s1026" type="#_x0000_t202" style="position:absolute;margin-left:-2.3pt;margin-top:6.15pt;width:442.75pt;height:97.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" fillcolor="white [3201]" strokeweight=".5pt">
                <v:textbox>
                  <w:txbxContent>
                    <w:p w:rsidR="00CA2405" w:rsidRPr="00CA2405" w:rsidRDefault="00CA2405">
                      <w:pPr>
                        <w:rPr>
                          <w:lang w:val="es-ES"/>
                        </w:rPr>
                      </w:pPr>
                      <w:r>
                        <w:rPr>
                          <w:lang w:val="es-ES"/>
                        </w:rPr>
                        <w:t>La nueva Resolución 227 de septiembre 23 de 2025 recopila los 733 artículos de unas 69 resoluciones de temas tributarios que se habían expedido entre los años 1999 y 2025. Entre las resoluciones recopiladas figuran varias de mucha importancia como la 162 de octubre de 2023 con la cual se exigió la exógena de los años gravables 2024 y siguientes, y la 165 de noviembre de 2023 con la cual se reguló la facturación electrónica</w:t>
                      </w:r>
                    </w:p>
                  </w:txbxContent>
                </v:textbox>
              </v:shape>
            </w:pict>
          </mc:Fallback>
        </mc:AlternateContent>
      </w:r>
    </w:p>
    <w:p w:rsidR="00CA2405" w:rsidRDefault="00CA2405">
      <w:pPr>
        <w:rPr>
          <w:lang w:val="es-ES"/>
        </w:rPr>
      </w:pPr>
    </w:p>
    <w:p w:rsidR="00CA2405" w:rsidRDefault="00CA2405">
      <w:pPr>
        <w:rPr>
          <w:lang w:val="es-ES"/>
        </w:rPr>
      </w:pPr>
    </w:p>
    <w:p w:rsidR="005C3583" w:rsidRDefault="005C3583">
      <w:pPr>
        <w:rPr>
          <w:lang w:val="es-ES"/>
        </w:rPr>
      </w:pPr>
    </w:p>
    <w:p w:rsidR="00CA2405" w:rsidRDefault="00CA2405">
      <w:pPr>
        <w:rPr>
          <w:lang w:val="es-ES"/>
        </w:rPr>
      </w:pPr>
    </w:p>
    <w:p w:rsidR="00CA2405" w:rsidRDefault="00CA2405">
      <w:pPr>
        <w:rPr>
          <w:lang w:val="es-ES"/>
        </w:rPr>
      </w:pPr>
    </w:p>
    <w:p w:rsidR="00CA2405" w:rsidRDefault="00CA2405">
      <w:pPr>
        <w:rPr>
          <w:lang w:val="es-ES"/>
        </w:rPr>
      </w:pPr>
    </w:p>
    <w:p w:rsidR="00CA2405" w:rsidRDefault="00CA2405">
      <w:pPr>
        <w:rPr>
          <w:lang w:val="es-ES"/>
        </w:rPr>
      </w:pPr>
    </w:p>
    <w:p w:rsidR="005C3583" w:rsidRDefault="005C3583">
      <w:pPr>
        <w:rPr>
          <w:lang w:val="es-ES"/>
        </w:rPr>
      </w:pPr>
      <w:r>
        <w:rPr>
          <w:lang w:val="es-ES"/>
        </w:rPr>
        <w:t xml:space="preserve">Luego de haberlo </w:t>
      </w:r>
      <w:hyperlink r:id="rId5" w:history="1">
        <w:r w:rsidRPr="004732E0">
          <w:rPr>
            <w:rStyle w:val="Hipervnculo"/>
            <w:lang w:val="es-ES"/>
          </w:rPr>
          <w:t xml:space="preserve">anunciando desde </w:t>
        </w:r>
        <w:r w:rsidR="004732E0" w:rsidRPr="004732E0">
          <w:rPr>
            <w:rStyle w:val="Hipervnculo"/>
            <w:lang w:val="es-ES"/>
          </w:rPr>
          <w:t>febrero 25 de 2025 como un “proyecto de Resolución”</w:t>
        </w:r>
      </w:hyperlink>
      <w:r w:rsidR="004732E0">
        <w:rPr>
          <w:lang w:val="es-ES"/>
        </w:rPr>
        <w:t xml:space="preserve">, la DIAN finalmente expidió </w:t>
      </w:r>
      <w:hyperlink r:id="rId6" w:history="1">
        <w:r w:rsidR="004732E0" w:rsidRPr="004732E0">
          <w:rPr>
            <w:rStyle w:val="Hipervnculo"/>
            <w:lang w:val="es-ES"/>
          </w:rPr>
          <w:t>su Resolución 227 de septiembre 23 de 2025</w:t>
        </w:r>
      </w:hyperlink>
      <w:r w:rsidR="004732E0">
        <w:rPr>
          <w:lang w:val="es-ES"/>
        </w:rPr>
        <w:t xml:space="preserve">, con 443 páginas y dos anexos, </w:t>
      </w:r>
      <w:r w:rsidR="00B54A6A">
        <w:rPr>
          <w:lang w:val="es-ES"/>
        </w:rPr>
        <w:t xml:space="preserve">norma que </w:t>
      </w:r>
      <w:r w:rsidR="004732E0">
        <w:rPr>
          <w:lang w:val="es-ES"/>
        </w:rPr>
        <w:t xml:space="preserve">se convierte en su nueva Resolución Única en Materia Tributaria, Aduanera y Cambiaria, la cual terminó recopilando el texto de unas </w:t>
      </w:r>
      <w:r w:rsidR="00CA2405">
        <w:rPr>
          <w:lang w:val="es-ES"/>
        </w:rPr>
        <w:t xml:space="preserve">69 </w:t>
      </w:r>
      <w:r w:rsidR="004732E0">
        <w:rPr>
          <w:lang w:val="es-ES"/>
        </w:rPr>
        <w:t>resoluciones importantes</w:t>
      </w:r>
      <w:r w:rsidR="00CA2405">
        <w:rPr>
          <w:lang w:val="es-ES"/>
        </w:rPr>
        <w:t xml:space="preserve"> (con un total 733 de artículos)</w:t>
      </w:r>
      <w:r w:rsidR="004732E0">
        <w:rPr>
          <w:lang w:val="es-ES"/>
        </w:rPr>
        <w:t xml:space="preserve"> que se habían expedido entre los años </w:t>
      </w:r>
      <w:r w:rsidR="00CA2405">
        <w:rPr>
          <w:lang w:val="es-ES"/>
        </w:rPr>
        <w:t>1999</w:t>
      </w:r>
      <w:r w:rsidR="004732E0">
        <w:rPr>
          <w:lang w:val="es-ES"/>
        </w:rPr>
        <w:t xml:space="preserve"> y 2025</w:t>
      </w:r>
      <w:r w:rsidR="00CA2405">
        <w:rPr>
          <w:lang w:val="es-ES"/>
        </w:rPr>
        <w:t>.</w:t>
      </w:r>
    </w:p>
    <w:p w:rsidR="004732E0" w:rsidRDefault="004732E0">
      <w:pPr>
        <w:rPr>
          <w:lang w:val="es-ES"/>
        </w:rPr>
      </w:pPr>
    </w:p>
    <w:p w:rsidR="004732E0" w:rsidRDefault="004732E0">
      <w:pPr>
        <w:rPr>
          <w:lang w:val="es-ES"/>
        </w:rPr>
      </w:pPr>
      <w:r>
        <w:rPr>
          <w:lang w:val="es-ES"/>
        </w:rPr>
        <w:t>Por tanto, al mismo estilo de lo que se hizo en pasado con el Decreto 1625 de octubre de 2016 (</w:t>
      </w:r>
      <w:r w:rsidR="0003625B">
        <w:rPr>
          <w:lang w:val="es-ES"/>
        </w:rPr>
        <w:t xml:space="preserve">Decreto único tributario que actualmente </w:t>
      </w:r>
      <w:hyperlink r:id="rId7" w:history="1">
        <w:r w:rsidR="0003625B" w:rsidRPr="0003625B">
          <w:rPr>
            <w:rStyle w:val="Hipervnculo"/>
            <w:lang w:val="es-ES"/>
          </w:rPr>
          <w:t>recopila en un solo documento más de</w:t>
        </w:r>
        <w:r w:rsidRPr="0003625B">
          <w:rPr>
            <w:rStyle w:val="Hipervnculo"/>
            <w:lang w:val="es-ES"/>
          </w:rPr>
          <w:t xml:space="preserve"> 1.40</w:t>
        </w:r>
        <w:r w:rsidR="0003625B" w:rsidRPr="0003625B">
          <w:rPr>
            <w:rStyle w:val="Hipervnculo"/>
            <w:lang w:val="es-ES"/>
          </w:rPr>
          <w:t>0 normas reglamentarias expedidas por el Ministerio</w:t>
        </w:r>
        <w:r w:rsidR="0003625B">
          <w:rPr>
            <w:rStyle w:val="Hipervnculo"/>
            <w:lang w:val="es-ES"/>
          </w:rPr>
          <w:t xml:space="preserve"> </w:t>
        </w:r>
        <w:r w:rsidR="0003625B" w:rsidRPr="0003625B">
          <w:rPr>
            <w:rStyle w:val="Hipervnculo"/>
            <w:lang w:val="es-ES"/>
          </w:rPr>
          <w:t>de Hacienda entre los años 1969 a 2025</w:t>
        </w:r>
      </w:hyperlink>
      <w:r w:rsidR="0003625B">
        <w:rPr>
          <w:lang w:val="es-ES"/>
        </w:rPr>
        <w:t>), ahora la DIAN decidió expedir una Resolución que unifique en un solo documento todos los textos de sus diferentes Resoluciones sobre temas tributarios que actualmente se hallaban vigentes, lo cual implicará que las nuevas resoluciones que se vayan expidiendo a partir de esta fecha también terminarán siendo incorporadas al texto de la Resolución 227 de septiembre 23 de 2025</w:t>
      </w:r>
    </w:p>
    <w:p w:rsidR="0003625B" w:rsidRDefault="0003625B">
      <w:pPr>
        <w:rPr>
          <w:lang w:val="es-ES"/>
        </w:rPr>
      </w:pPr>
    </w:p>
    <w:p w:rsidR="0003625B" w:rsidRDefault="0003625B">
      <w:pPr>
        <w:rPr>
          <w:lang w:val="es-ES"/>
        </w:rPr>
      </w:pPr>
      <w:r>
        <w:rPr>
          <w:lang w:val="es-ES"/>
        </w:rPr>
        <w:t xml:space="preserve">En todo caso, y como se admite en los considerandos de la Resolución 227 de 2025, el texto de la norma </w:t>
      </w:r>
      <w:r w:rsidR="00B54A6A">
        <w:rPr>
          <w:lang w:val="es-ES"/>
        </w:rPr>
        <w:t>por ahora s</w:t>
      </w:r>
      <w:r>
        <w:rPr>
          <w:lang w:val="es-ES"/>
        </w:rPr>
        <w:t>olo recopil</w:t>
      </w:r>
      <w:r w:rsidR="00B54A6A">
        <w:rPr>
          <w:lang w:val="es-ES"/>
        </w:rPr>
        <w:t>ó</w:t>
      </w:r>
      <w:r>
        <w:rPr>
          <w:lang w:val="es-ES"/>
        </w:rPr>
        <w:t xml:space="preserve"> los textos de las resoluciones sobre temas tributarios y más adelante terminará incorporando los textos </w:t>
      </w:r>
      <w:r w:rsidR="00E93119">
        <w:rPr>
          <w:lang w:val="es-ES"/>
        </w:rPr>
        <w:t>de las Resoluciones sobre Temas Aduaneros y Cambiarios</w:t>
      </w:r>
    </w:p>
    <w:p w:rsidR="00B54A6A" w:rsidRDefault="00B54A6A">
      <w:pPr>
        <w:rPr>
          <w:lang w:val="es-ES"/>
        </w:rPr>
      </w:pPr>
    </w:p>
    <w:p w:rsidR="00B54A6A" w:rsidRDefault="00B54A6A">
      <w:pPr>
        <w:rPr>
          <w:lang w:val="es-ES"/>
        </w:rPr>
      </w:pPr>
      <w:r>
        <w:rPr>
          <w:lang w:val="es-ES"/>
        </w:rPr>
        <w:t>Al respecto, es necesario destacar que el trabajo de unificar en un solo documento las diferentes normas que se hallaban contenidas en resoluciones independientes, sirve en especial para poder identificar cuantas normas reglamentarias sobre un mismo subtema tributario sí se hallaban vigentes pues es claro que muchas resoluciones del pasado habían dejado de tener vigencia por culpa de las nuevas leyes tributarias y de nuevos decretos reglamentarios que se expidieron con posterior</w:t>
      </w:r>
      <w:r w:rsidR="0031045E">
        <w:rPr>
          <w:lang w:val="es-ES"/>
        </w:rPr>
        <w:t>idad</w:t>
      </w:r>
    </w:p>
    <w:p w:rsidR="00E93119" w:rsidRDefault="00E93119">
      <w:pPr>
        <w:rPr>
          <w:lang w:val="es-ES"/>
        </w:rPr>
      </w:pPr>
    </w:p>
    <w:p w:rsidR="00E93119" w:rsidRDefault="00E93119" w:rsidP="0031045E">
      <w:pPr>
        <w:pStyle w:val="Ttulo2"/>
        <w:rPr>
          <w:lang w:val="es-ES"/>
        </w:rPr>
      </w:pPr>
      <w:r>
        <w:rPr>
          <w:lang w:val="es-ES"/>
        </w:rPr>
        <w:lastRenderedPageBreak/>
        <w:t xml:space="preserve">Resumen de las Resoluciones </w:t>
      </w:r>
      <w:r w:rsidR="00F10629">
        <w:rPr>
          <w:lang w:val="es-ES"/>
        </w:rPr>
        <w:t xml:space="preserve">más importantes </w:t>
      </w:r>
      <w:r w:rsidR="00B54A6A">
        <w:rPr>
          <w:lang w:val="es-ES"/>
        </w:rPr>
        <w:t>sobre</w:t>
      </w:r>
      <w:r>
        <w:rPr>
          <w:lang w:val="es-ES"/>
        </w:rPr>
        <w:t xml:space="preserve"> temas tributarios que terminaron quedando recopiladas en la Resolución 227 de septiembre 23 de 2025</w:t>
      </w:r>
    </w:p>
    <w:p w:rsidR="00E93119" w:rsidRDefault="00E93119">
      <w:pPr>
        <w:rPr>
          <w:lang w:val="es-ES"/>
        </w:rPr>
      </w:pPr>
      <w:r>
        <w:rPr>
          <w:lang w:val="es-ES"/>
        </w:rPr>
        <w:t xml:space="preserve">Con el propósito de destacar la importancia de </w:t>
      </w:r>
      <w:r w:rsidR="00F10629">
        <w:rPr>
          <w:lang w:val="es-ES"/>
        </w:rPr>
        <w:t>varias de las</w:t>
      </w:r>
      <w:r w:rsidR="00B54A6A">
        <w:rPr>
          <w:lang w:val="es-ES"/>
        </w:rPr>
        <w:t xml:space="preserve"> resoluciones sobre temas tributarios que terminaron quedando recopiladas en la Resolución 227 de septiembre 23 de 2025, a continuación hacemos una reseña de </w:t>
      </w:r>
      <w:r w:rsidR="00F10629">
        <w:rPr>
          <w:lang w:val="es-ES"/>
        </w:rPr>
        <w:t xml:space="preserve">tales resoluciones </w:t>
      </w:r>
      <w:r w:rsidR="00B54A6A">
        <w:rPr>
          <w:lang w:val="es-ES"/>
        </w:rPr>
        <w:t>por orden de antigüedad</w:t>
      </w:r>
    </w:p>
    <w:p w:rsidR="00B54A6A" w:rsidRDefault="00B54A6A">
      <w:pPr>
        <w:rPr>
          <w:lang w:val="es-ES"/>
        </w:rPr>
      </w:pPr>
    </w:p>
    <w:p w:rsidR="00B54A6A" w:rsidRDefault="00B54A6A">
      <w:pPr>
        <w:rPr>
          <w:lang w:val="es-ES"/>
        </w:rPr>
      </w:pPr>
    </w:p>
    <w:p w:rsidR="00B54A6A" w:rsidRDefault="00000000" w:rsidP="00DC0525">
      <w:pPr>
        <w:pStyle w:val="Prrafodelista"/>
        <w:numPr>
          <w:ilvl w:val="0"/>
          <w:numId w:val="1"/>
        </w:numPr>
        <w:rPr>
          <w:lang w:val="es-ES"/>
        </w:rPr>
      </w:pPr>
      <w:hyperlink r:id="rId8" w:history="1">
        <w:r w:rsidR="00B54A6A" w:rsidRPr="00150048">
          <w:rPr>
            <w:rStyle w:val="Hipervnculo"/>
            <w:lang w:val="es-ES"/>
          </w:rPr>
          <w:t xml:space="preserve">Resolución 8346 de </w:t>
        </w:r>
        <w:r w:rsidR="00150048">
          <w:rPr>
            <w:rStyle w:val="Hipervnculo"/>
            <w:lang w:val="es-ES"/>
          </w:rPr>
          <w:t xml:space="preserve">septiembre 16 de </w:t>
        </w:r>
        <w:r w:rsidR="00B54A6A" w:rsidRPr="00150048">
          <w:rPr>
            <w:rStyle w:val="Hipervnculo"/>
            <w:lang w:val="es-ES"/>
          </w:rPr>
          <w:t>2004</w:t>
        </w:r>
      </w:hyperlink>
      <w:r w:rsidR="0031045E" w:rsidRPr="00150048">
        <w:rPr>
          <w:lang w:val="es-ES"/>
        </w:rPr>
        <w:t xml:space="preserve"> </w:t>
      </w:r>
      <w:r w:rsidR="00B54A6A">
        <w:rPr>
          <w:lang w:val="es-ES"/>
        </w:rPr>
        <w:t xml:space="preserve">: </w:t>
      </w:r>
      <w:r w:rsidR="0031045E">
        <w:rPr>
          <w:lang w:val="es-ES"/>
        </w:rPr>
        <w:t xml:space="preserve">con esta norma se había </w:t>
      </w:r>
      <w:r w:rsidR="0031045E" w:rsidRPr="0031045E">
        <w:rPr>
          <w:lang w:val="es-ES"/>
        </w:rPr>
        <w:t xml:space="preserve">prescrito el formulario oficial para la inscripción, actualización y cancelación en el Registro </w:t>
      </w:r>
      <w:r w:rsidR="0031045E">
        <w:rPr>
          <w:lang w:val="es-ES"/>
        </w:rPr>
        <w:t>Ú</w:t>
      </w:r>
      <w:r w:rsidR="0031045E" w:rsidRPr="0031045E">
        <w:rPr>
          <w:lang w:val="es-ES"/>
        </w:rPr>
        <w:t>nico Tributario "RUT".</w:t>
      </w:r>
    </w:p>
    <w:p w:rsidR="00150048" w:rsidRDefault="00000000" w:rsidP="00DC0525">
      <w:pPr>
        <w:pStyle w:val="Prrafodelista"/>
        <w:numPr>
          <w:ilvl w:val="0"/>
          <w:numId w:val="1"/>
        </w:numPr>
        <w:rPr>
          <w:lang w:val="es-ES"/>
        </w:rPr>
      </w:pPr>
      <w:hyperlink r:id="rId9" w:history="1">
        <w:r w:rsidR="00150048" w:rsidRPr="00150048">
          <w:rPr>
            <w:rStyle w:val="Hipervnculo"/>
            <w:lang w:val="es-ES"/>
          </w:rPr>
          <w:t>Resolución 1767 de Febrero 28 de 2006</w:t>
        </w:r>
      </w:hyperlink>
      <w:r w:rsidR="00150048" w:rsidRPr="00150048">
        <w:rPr>
          <w:lang w:val="es-ES"/>
        </w:rPr>
        <w:t xml:space="preserve">: con esta norma se había señalado la obligación de inscripción en el Registro </w:t>
      </w:r>
      <w:proofErr w:type="spellStart"/>
      <w:r w:rsidR="00150048" w:rsidRPr="00150048">
        <w:rPr>
          <w:lang w:val="es-ES"/>
        </w:rPr>
        <w:t>Unico</w:t>
      </w:r>
      <w:proofErr w:type="spellEnd"/>
      <w:r w:rsidR="00150048" w:rsidRPr="00150048">
        <w:rPr>
          <w:lang w:val="es-ES"/>
        </w:rPr>
        <w:t xml:space="preserve"> Tributario de algunos sujetos de obligaciones administradas por DIAN</w:t>
      </w:r>
    </w:p>
    <w:p w:rsidR="004D0B9D" w:rsidRDefault="00000000" w:rsidP="00DC0525">
      <w:pPr>
        <w:pStyle w:val="Prrafodelista"/>
        <w:numPr>
          <w:ilvl w:val="0"/>
          <w:numId w:val="1"/>
        </w:numPr>
        <w:rPr>
          <w:lang w:val="es-ES"/>
        </w:rPr>
      </w:pPr>
      <w:hyperlink r:id="rId10" w:history="1">
        <w:r w:rsidR="004D0B9D" w:rsidRPr="004D0B9D">
          <w:rPr>
            <w:rStyle w:val="Hipervnculo"/>
            <w:lang w:val="es-ES"/>
          </w:rPr>
          <w:t>Resolución 5062 de mayo 7 de 2007</w:t>
        </w:r>
      </w:hyperlink>
      <w:r w:rsidR="004D0B9D">
        <w:rPr>
          <w:lang w:val="es-ES"/>
        </w:rPr>
        <w:t xml:space="preserve">: </w:t>
      </w:r>
      <w:r w:rsidR="004D0B9D" w:rsidRPr="00150048">
        <w:rPr>
          <w:lang w:val="es-ES"/>
        </w:rPr>
        <w:t xml:space="preserve">con esta norma se había señalado la obligación de inscripción en el Registro </w:t>
      </w:r>
      <w:r w:rsidR="00524109">
        <w:rPr>
          <w:lang w:val="es-ES"/>
        </w:rPr>
        <w:t>Ú</w:t>
      </w:r>
      <w:r w:rsidR="004D0B9D" w:rsidRPr="00150048">
        <w:rPr>
          <w:lang w:val="es-ES"/>
        </w:rPr>
        <w:t>nico Tributario de algunos sujetos de obligaciones administradas por DIAN</w:t>
      </w:r>
    </w:p>
    <w:p w:rsidR="00F10629" w:rsidRDefault="00000000" w:rsidP="00DC0525">
      <w:pPr>
        <w:pStyle w:val="Prrafodelista"/>
        <w:numPr>
          <w:ilvl w:val="0"/>
          <w:numId w:val="1"/>
        </w:numPr>
        <w:rPr>
          <w:lang w:val="es-ES"/>
        </w:rPr>
      </w:pPr>
      <w:hyperlink r:id="rId11" w:history="1">
        <w:r w:rsidR="00F10629" w:rsidRPr="00F10629">
          <w:rPr>
            <w:rStyle w:val="Hipervnculo"/>
            <w:lang w:val="es-ES"/>
          </w:rPr>
          <w:t>Resolución 15734 de diciembre 20 de 2007</w:t>
        </w:r>
      </w:hyperlink>
      <w:r w:rsidR="00F10629">
        <w:rPr>
          <w:lang w:val="es-ES"/>
        </w:rPr>
        <w:t>: reglamentó el Pago virtual de las declaraciones tributarias</w:t>
      </w:r>
    </w:p>
    <w:p w:rsidR="007371D4" w:rsidRDefault="00000000" w:rsidP="00DC0525">
      <w:pPr>
        <w:pStyle w:val="Prrafodelista"/>
        <w:numPr>
          <w:ilvl w:val="0"/>
          <w:numId w:val="1"/>
        </w:numPr>
        <w:rPr>
          <w:lang w:val="es-ES"/>
        </w:rPr>
      </w:pPr>
      <w:hyperlink r:id="rId12" w:history="1">
        <w:r w:rsidR="00CA60BC" w:rsidRPr="007371D4">
          <w:rPr>
            <w:rStyle w:val="Hipervnculo"/>
            <w:lang w:val="es-ES"/>
          </w:rPr>
          <w:t>Resolución 12761 de diciembre 9 de 2011</w:t>
        </w:r>
      </w:hyperlink>
      <w:r w:rsidR="00CA60BC" w:rsidRPr="007371D4">
        <w:rPr>
          <w:lang w:val="es-ES"/>
        </w:rPr>
        <w:t xml:space="preserve">: señaló a los contribuyentes que deben presentar las declaraciones </w:t>
      </w:r>
      <w:r w:rsidR="007371D4">
        <w:rPr>
          <w:lang w:val="es-ES"/>
        </w:rPr>
        <w:t>de forma electrónica</w:t>
      </w:r>
    </w:p>
    <w:p w:rsidR="00F10629" w:rsidRDefault="00000000" w:rsidP="00DC0525">
      <w:pPr>
        <w:pStyle w:val="Prrafodelista"/>
        <w:numPr>
          <w:ilvl w:val="0"/>
          <w:numId w:val="1"/>
        </w:numPr>
        <w:rPr>
          <w:lang w:val="es-ES"/>
        </w:rPr>
      </w:pPr>
      <w:hyperlink r:id="rId13" w:history="1">
        <w:r w:rsidR="00F10629" w:rsidRPr="00F10629">
          <w:rPr>
            <w:rStyle w:val="Hipervnculo"/>
            <w:lang w:val="es-ES"/>
          </w:rPr>
          <w:t>Resolución 151 de noviembre 30 de 2012</w:t>
        </w:r>
      </w:hyperlink>
      <w:r w:rsidR="00F10629">
        <w:rPr>
          <w:lang w:val="es-ES"/>
        </w:rPr>
        <w:t>: estableció el pro</w:t>
      </w:r>
      <w:r w:rsidR="00F10629" w:rsidRPr="00F10629">
        <w:rPr>
          <w:lang w:val="es-ES"/>
        </w:rPr>
        <w:t>cedimiento para la presentación de las solicitudes de devolución y/o compensación por saldos a favor generados en declaraciones de renta y ventas.</w:t>
      </w:r>
    </w:p>
    <w:p w:rsidR="006E0AD4" w:rsidRPr="007371D4" w:rsidRDefault="00000000" w:rsidP="00DC0525">
      <w:pPr>
        <w:pStyle w:val="Prrafodelista"/>
        <w:numPr>
          <w:ilvl w:val="0"/>
          <w:numId w:val="1"/>
        </w:numPr>
        <w:rPr>
          <w:lang w:val="es-ES"/>
        </w:rPr>
      </w:pPr>
      <w:hyperlink r:id="rId14" w:history="1">
        <w:r w:rsidR="006E0AD4" w:rsidRPr="007371D4">
          <w:rPr>
            <w:rStyle w:val="Hipervnculo"/>
            <w:lang w:val="es-ES"/>
          </w:rPr>
          <w:t>Resolución 132 de diciembre 22 de 2015</w:t>
        </w:r>
      </w:hyperlink>
      <w:r w:rsidR="006E0AD4" w:rsidRPr="007371D4">
        <w:rPr>
          <w:lang w:val="es-ES"/>
        </w:rPr>
        <w:t xml:space="preserve">: </w:t>
      </w:r>
      <w:r w:rsidR="00770C39" w:rsidRPr="007371D4">
        <w:rPr>
          <w:lang w:val="es-ES"/>
        </w:rPr>
        <w:t>estableció el reporte especial de información exógena a quienes procesan y/o presten el servicio de curtido, preparación y teñido de cueros y/o pieles y/o comercializan y/o exportan pieles y/o cueros de animales bovinos y bufalinos</w:t>
      </w:r>
    </w:p>
    <w:p w:rsidR="00CA60BC" w:rsidRDefault="00000000" w:rsidP="00DC0525">
      <w:pPr>
        <w:pStyle w:val="Prrafodelista"/>
        <w:numPr>
          <w:ilvl w:val="0"/>
          <w:numId w:val="1"/>
        </w:numPr>
        <w:rPr>
          <w:lang w:val="es-ES"/>
        </w:rPr>
      </w:pPr>
      <w:hyperlink r:id="rId15" w:history="1">
        <w:r w:rsidR="00CA60BC" w:rsidRPr="00CA60BC">
          <w:rPr>
            <w:rStyle w:val="Hipervnculo"/>
            <w:lang w:val="es-ES"/>
          </w:rPr>
          <w:t>Resolución 070 de noviembre 3 de 2016</w:t>
        </w:r>
      </w:hyperlink>
      <w:r w:rsidR="00CA60BC">
        <w:rPr>
          <w:lang w:val="es-ES"/>
        </w:rPr>
        <w:t xml:space="preserve">: </w:t>
      </w:r>
      <w:r w:rsidR="00CA60BC" w:rsidRPr="00CA60BC">
        <w:rPr>
          <w:lang w:val="es-ES"/>
        </w:rPr>
        <w:t>reglamentó el uso de firma electrónica en los servicios informáticos electrónicos de la Dirección de Impuestos y Aduanas Nacionales (DIAN)</w:t>
      </w:r>
    </w:p>
    <w:p w:rsidR="00A13D70" w:rsidRDefault="00000000" w:rsidP="00DC0525">
      <w:pPr>
        <w:pStyle w:val="Prrafodelista"/>
        <w:numPr>
          <w:ilvl w:val="0"/>
          <w:numId w:val="1"/>
        </w:numPr>
        <w:rPr>
          <w:lang w:val="es-ES"/>
        </w:rPr>
      </w:pPr>
      <w:hyperlink r:id="rId16" w:history="1">
        <w:r w:rsidR="00A13D70" w:rsidRPr="00A13D70">
          <w:rPr>
            <w:rStyle w:val="Hipervnculo"/>
            <w:lang w:val="es-ES"/>
          </w:rPr>
          <w:t>Resolución 06 de febrero 3 de 2017</w:t>
        </w:r>
      </w:hyperlink>
      <w:r w:rsidR="00A13D70">
        <w:rPr>
          <w:lang w:val="es-ES"/>
        </w:rPr>
        <w:t xml:space="preserve">: Prescribió el formulario 160 para declaración de activos en el exterior año 2017 y </w:t>
      </w:r>
      <w:proofErr w:type="spellStart"/>
      <w:r w:rsidR="00A13D70">
        <w:rPr>
          <w:lang w:val="es-ES"/>
        </w:rPr>
        <w:t>suguientes</w:t>
      </w:r>
      <w:proofErr w:type="spellEnd"/>
    </w:p>
    <w:p w:rsidR="00524109" w:rsidRDefault="00000000" w:rsidP="00DC0525">
      <w:pPr>
        <w:pStyle w:val="Prrafodelista"/>
        <w:numPr>
          <w:ilvl w:val="0"/>
          <w:numId w:val="1"/>
        </w:numPr>
        <w:rPr>
          <w:lang w:val="es-ES"/>
        </w:rPr>
      </w:pPr>
      <w:hyperlink r:id="rId17" w:history="1">
        <w:r w:rsidR="00524109" w:rsidRPr="00524109">
          <w:rPr>
            <w:rStyle w:val="Hipervnculo"/>
            <w:lang w:val="es-ES"/>
          </w:rPr>
          <w:t>Resolución 055 de octubre 11 de 2017</w:t>
        </w:r>
      </w:hyperlink>
      <w:r w:rsidR="00524109">
        <w:rPr>
          <w:lang w:val="es-ES"/>
        </w:rPr>
        <w:t xml:space="preserve">: </w:t>
      </w:r>
      <w:r w:rsidR="00524109" w:rsidRPr="00150048">
        <w:rPr>
          <w:lang w:val="es-ES"/>
        </w:rPr>
        <w:t>con esta norma se</w:t>
      </w:r>
      <w:r w:rsidR="00524109">
        <w:rPr>
          <w:lang w:val="es-ES"/>
        </w:rPr>
        <w:t xml:space="preserve"> habían</w:t>
      </w:r>
      <w:r w:rsidR="00524109" w:rsidRPr="00524109">
        <w:rPr>
          <w:lang w:val="es-ES"/>
        </w:rPr>
        <w:t xml:space="preserve"> establecido los requisitos para obtener autorización para actuar como agentes autorretenedores de rendimientos financieros y se adopta</w:t>
      </w:r>
      <w:r w:rsidR="00524109">
        <w:rPr>
          <w:lang w:val="es-ES"/>
        </w:rPr>
        <w:t>ba</w:t>
      </w:r>
      <w:r w:rsidR="00524109" w:rsidRPr="00524109">
        <w:rPr>
          <w:lang w:val="es-ES"/>
        </w:rPr>
        <w:t xml:space="preserve"> el trámite correspondiente para su aprobación</w:t>
      </w:r>
      <w:r w:rsidR="00524109">
        <w:rPr>
          <w:lang w:val="es-ES"/>
        </w:rPr>
        <w:t>.</w:t>
      </w:r>
    </w:p>
    <w:p w:rsidR="00693C11" w:rsidRDefault="00000000" w:rsidP="00DC0525">
      <w:pPr>
        <w:pStyle w:val="Prrafodelista"/>
        <w:numPr>
          <w:ilvl w:val="0"/>
          <w:numId w:val="1"/>
        </w:numPr>
        <w:rPr>
          <w:lang w:val="es-ES"/>
        </w:rPr>
      </w:pPr>
      <w:hyperlink r:id="rId18" w:history="1">
        <w:r w:rsidR="00693C11" w:rsidRPr="00693C11">
          <w:rPr>
            <w:rStyle w:val="Hipervnculo"/>
            <w:lang w:val="es-ES"/>
          </w:rPr>
          <w:t>Resolución 019 de marzo 28 de 2018</w:t>
        </w:r>
      </w:hyperlink>
      <w:r w:rsidR="00693C11">
        <w:rPr>
          <w:lang w:val="es-ES"/>
        </w:rPr>
        <w:t xml:space="preserve">: con esta norma se habían fijado las pautas para usar </w:t>
      </w:r>
      <w:r w:rsidR="00693C11">
        <w:rPr>
          <w:rFonts w:ascii="Roboto Condensed" w:hAnsi="Roboto Condensed"/>
          <w:color w:val="343536"/>
          <w:spacing w:val="2"/>
          <w:sz w:val="27"/>
          <w:szCs w:val="27"/>
          <w:shd w:val="clear" w:color="auto" w:fill="FFFFFF"/>
        </w:rPr>
        <w:t xml:space="preserve">el </w:t>
      </w:r>
      <w:r w:rsidR="00693C11" w:rsidRPr="00693C11">
        <w:rPr>
          <w:lang w:val="es-ES"/>
        </w:rPr>
        <w:t>Servicio Informático Electrónico Régimen Tributario Especial (formularios y formatos para hacer y renovar el registro web de las entidades de dicho régimen)</w:t>
      </w:r>
    </w:p>
    <w:p w:rsidR="004E7283" w:rsidRDefault="00000000" w:rsidP="00DC0525">
      <w:pPr>
        <w:pStyle w:val="Prrafodelista"/>
        <w:numPr>
          <w:ilvl w:val="0"/>
          <w:numId w:val="1"/>
        </w:numPr>
        <w:rPr>
          <w:lang w:val="es-ES"/>
        </w:rPr>
      </w:pPr>
      <w:hyperlink r:id="rId19" w:history="1">
        <w:r w:rsidR="004E7283" w:rsidRPr="004E7283">
          <w:rPr>
            <w:rStyle w:val="Hipervnculo"/>
            <w:lang w:val="es-ES"/>
          </w:rPr>
          <w:t>Resolución 51 de octubre 19 de 2018</w:t>
        </w:r>
      </w:hyperlink>
      <w:r w:rsidR="004E7283">
        <w:rPr>
          <w:lang w:val="es-ES"/>
        </w:rPr>
        <w:t xml:space="preserve">: </w:t>
      </w:r>
      <w:r w:rsidR="004E7283" w:rsidRPr="004E7283">
        <w:rPr>
          <w:lang w:val="es-ES"/>
        </w:rPr>
        <w:t>estableció el procedimiento para cumplir con las obligaciones sustanciales y formales en materia del impuesto sobre las ventas (IVA) por parte de los prestadores de servicios desde el exterior.</w:t>
      </w:r>
    </w:p>
    <w:p w:rsidR="004D0B9D" w:rsidRDefault="00000000" w:rsidP="00DC0525">
      <w:pPr>
        <w:pStyle w:val="Prrafodelista"/>
        <w:numPr>
          <w:ilvl w:val="0"/>
          <w:numId w:val="1"/>
        </w:numPr>
        <w:rPr>
          <w:lang w:val="es-ES"/>
        </w:rPr>
      </w:pPr>
      <w:hyperlink r:id="rId20" w:history="1">
        <w:r w:rsidR="004D0B9D" w:rsidRPr="00F010D0">
          <w:rPr>
            <w:rStyle w:val="Hipervnculo"/>
            <w:lang w:val="es-ES"/>
          </w:rPr>
          <w:t>Resolución</w:t>
        </w:r>
        <w:r w:rsidR="001A7DA7" w:rsidRPr="00F010D0">
          <w:rPr>
            <w:rStyle w:val="Hipervnculo"/>
            <w:lang w:val="es-ES"/>
          </w:rPr>
          <w:t xml:space="preserve"> 5707 de 2019 de agosto 5 de 2019</w:t>
        </w:r>
      </w:hyperlink>
      <w:r w:rsidR="001A7DA7">
        <w:rPr>
          <w:lang w:val="es-ES"/>
        </w:rPr>
        <w:t xml:space="preserve">: </w:t>
      </w:r>
      <w:r w:rsidR="001A7DA7" w:rsidRPr="00150048">
        <w:rPr>
          <w:lang w:val="es-ES"/>
        </w:rPr>
        <w:t xml:space="preserve">con esta norma se había señalado </w:t>
      </w:r>
      <w:r w:rsidR="001A7DA7" w:rsidRPr="001A7DA7">
        <w:rPr>
          <w:lang w:val="es-ES"/>
        </w:rPr>
        <w:t>los requisitos para ser autorizado para actuar como autorretenedor del impuesto sobre la renta</w:t>
      </w:r>
    </w:p>
    <w:p w:rsidR="00524109" w:rsidRPr="00DC0525" w:rsidRDefault="00000000" w:rsidP="00DC0525">
      <w:pPr>
        <w:pStyle w:val="Prrafodelista"/>
        <w:numPr>
          <w:ilvl w:val="0"/>
          <w:numId w:val="1"/>
        </w:numPr>
        <w:rPr>
          <w:lang w:val="es-ES"/>
        </w:rPr>
      </w:pPr>
      <w:hyperlink r:id="rId21" w:history="1">
        <w:r w:rsidR="00524109" w:rsidRPr="00524109">
          <w:rPr>
            <w:rStyle w:val="Hipervnculo"/>
            <w:lang w:val="es-ES"/>
          </w:rPr>
          <w:t>Resolución 0051 de agosto 6 de 2019</w:t>
        </w:r>
      </w:hyperlink>
      <w:r w:rsidR="00524109">
        <w:rPr>
          <w:lang w:val="es-ES"/>
        </w:rPr>
        <w:t xml:space="preserve">: </w:t>
      </w:r>
      <w:r w:rsidR="00524109">
        <w:t>con esta norma se habían establecido los requisitos para la designación de Agentes de Retención del Impuesto sobre las Ventas -IVA</w:t>
      </w:r>
    </w:p>
    <w:p w:rsidR="00DC0525" w:rsidRPr="004E7283" w:rsidRDefault="00000000" w:rsidP="00DC0525">
      <w:pPr>
        <w:pStyle w:val="Prrafodelista"/>
        <w:numPr>
          <w:ilvl w:val="0"/>
          <w:numId w:val="1"/>
        </w:numPr>
        <w:rPr>
          <w:lang w:val="es-ES"/>
        </w:rPr>
      </w:pPr>
      <w:hyperlink r:id="rId22" w:history="1">
        <w:r w:rsidR="00DC0525" w:rsidRPr="00DC0525">
          <w:rPr>
            <w:rStyle w:val="Hipervnculo"/>
          </w:rPr>
          <w:t>Resolución 071 de octubre 28 de 2019</w:t>
        </w:r>
      </w:hyperlink>
      <w:r w:rsidR="00DC0525">
        <w:t>: Reglament</w:t>
      </w:r>
      <w:r w:rsidR="004E7283">
        <w:t>ó</w:t>
      </w:r>
      <w:r w:rsidR="00DC0525">
        <w:t xml:space="preserve"> la presentación de los formatos de conciliación fiscal 2516 y 2517 por los años gravables 2020 y siguientes</w:t>
      </w:r>
    </w:p>
    <w:p w:rsidR="004E7283" w:rsidRPr="004E7283" w:rsidRDefault="00000000" w:rsidP="00DC0525">
      <w:pPr>
        <w:pStyle w:val="Prrafodelista"/>
        <w:numPr>
          <w:ilvl w:val="0"/>
          <w:numId w:val="1"/>
        </w:numPr>
      </w:pPr>
      <w:hyperlink r:id="rId23" w:history="1">
        <w:r w:rsidR="004E7283" w:rsidRPr="004E7283">
          <w:rPr>
            <w:rStyle w:val="Hipervnculo"/>
          </w:rPr>
          <w:t>Resolución 017 de febrero 28 de 2020</w:t>
        </w:r>
      </w:hyperlink>
      <w:r w:rsidR="004E7283">
        <w:t xml:space="preserve">: </w:t>
      </w:r>
      <w:r w:rsidR="004E7283" w:rsidRPr="004E7283">
        <w:t>establec</w:t>
      </w:r>
      <w:r w:rsidR="004E7283">
        <w:t>ió</w:t>
      </w:r>
      <w:r w:rsidR="004E7283" w:rsidRPr="004E7283">
        <w:t xml:space="preserve"> el procedimiento para los prestadores de servicios electrónicos o digitales desde el exterior que se acojan voluntariamente al sistema alternativo de pago del impuesto a través de la retención en la fuente a título de impuesto sobre las ventas (IVA).</w:t>
      </w:r>
    </w:p>
    <w:p w:rsidR="00AD7F2A" w:rsidRPr="00CA60BC" w:rsidRDefault="00000000" w:rsidP="00DC0525">
      <w:pPr>
        <w:pStyle w:val="Prrafodelista"/>
        <w:numPr>
          <w:ilvl w:val="0"/>
          <w:numId w:val="1"/>
        </w:numPr>
        <w:rPr>
          <w:lang w:val="es-ES"/>
        </w:rPr>
      </w:pPr>
      <w:hyperlink r:id="rId24" w:history="1">
        <w:r w:rsidR="00AD7F2A" w:rsidRPr="00AD7F2A">
          <w:rPr>
            <w:rStyle w:val="Hipervnculo"/>
          </w:rPr>
          <w:t>Resolución 019 de marzo 10 de 2020</w:t>
        </w:r>
      </w:hyperlink>
      <w:r w:rsidR="00AD7F2A">
        <w:t>: Prescribió el formulario 120 para declaraciones de precios de transferencia años gravables 2019 y siguientes</w:t>
      </w:r>
    </w:p>
    <w:p w:rsidR="00CA60BC" w:rsidRPr="00D73EDE" w:rsidRDefault="00000000" w:rsidP="00DC0525">
      <w:pPr>
        <w:pStyle w:val="Prrafodelista"/>
        <w:numPr>
          <w:ilvl w:val="0"/>
          <w:numId w:val="1"/>
        </w:numPr>
        <w:rPr>
          <w:lang w:val="es-ES"/>
        </w:rPr>
      </w:pPr>
      <w:hyperlink r:id="rId25" w:history="1">
        <w:r w:rsidR="00CA60BC" w:rsidRPr="00CA60BC">
          <w:rPr>
            <w:rStyle w:val="Hipervnculo"/>
          </w:rPr>
          <w:t>Resolución 038 de abril 30 de 2020</w:t>
        </w:r>
      </w:hyperlink>
      <w:r w:rsidR="00CA60BC">
        <w:t xml:space="preserve">: </w:t>
      </w:r>
      <w:r w:rsidR="00CA60BC">
        <w:rPr>
          <w:rFonts w:ascii="Roboto Condensed" w:hAnsi="Roboto Condensed"/>
          <w:color w:val="343536"/>
          <w:spacing w:val="2"/>
          <w:sz w:val="27"/>
          <w:szCs w:val="27"/>
          <w:shd w:val="clear" w:color="auto" w:fill="FFFFFF"/>
        </w:rPr>
        <w:t> </w:t>
      </w:r>
      <w:r w:rsidR="00CA60BC" w:rsidRPr="00CA60BC">
        <w:t>reglamentó la notificación electrónica en la Unidad Administrativa Especial Dirección de Impuestos y Aduanas Nacionales (DIAN), en cumplimiento de lo establecido en los artículos </w:t>
      </w:r>
      <w:hyperlink r:id="rId26" w:anchor="563" w:history="1">
        <w:r w:rsidR="00CA60BC" w:rsidRPr="00CA60BC">
          <w:t>563</w:t>
        </w:r>
      </w:hyperlink>
      <w:r w:rsidR="00CA60BC" w:rsidRPr="00CA60BC">
        <w:t>, </w:t>
      </w:r>
      <w:hyperlink r:id="rId27" w:anchor="564" w:history="1">
        <w:r w:rsidR="00CA60BC" w:rsidRPr="00CA60BC">
          <w:t>564</w:t>
        </w:r>
      </w:hyperlink>
      <w:r w:rsidR="00CA60BC" w:rsidRPr="00CA60BC">
        <w:t>, </w:t>
      </w:r>
      <w:hyperlink r:id="rId28" w:anchor="565" w:history="1">
        <w:r w:rsidR="00CA60BC" w:rsidRPr="00CA60BC">
          <w:t>565</w:t>
        </w:r>
      </w:hyperlink>
      <w:r w:rsidR="00CA60BC" w:rsidRPr="00CA60BC">
        <w:t> y </w:t>
      </w:r>
      <w:hyperlink r:id="rId29" w:anchor="566-1" w:history="1">
        <w:r w:rsidR="00CA60BC" w:rsidRPr="00CA60BC">
          <w:t>566-1</w:t>
        </w:r>
      </w:hyperlink>
      <w:r w:rsidR="00CA60BC" w:rsidRPr="00CA60BC">
        <w:t> del Estatuto Tributario</w:t>
      </w:r>
      <w:r w:rsidR="00CA60BC">
        <w:rPr>
          <w:rFonts w:ascii="Roboto Condensed" w:hAnsi="Roboto Condensed"/>
          <w:color w:val="343536"/>
          <w:spacing w:val="2"/>
          <w:sz w:val="27"/>
          <w:szCs w:val="27"/>
          <w:shd w:val="clear" w:color="auto" w:fill="FFFFFF"/>
        </w:rPr>
        <w:t>.</w:t>
      </w:r>
    </w:p>
    <w:p w:rsidR="00D73EDE" w:rsidRPr="00D114DA" w:rsidRDefault="00000000" w:rsidP="00DC0525">
      <w:pPr>
        <w:pStyle w:val="Prrafodelista"/>
        <w:numPr>
          <w:ilvl w:val="0"/>
          <w:numId w:val="1"/>
        </w:numPr>
        <w:rPr>
          <w:lang w:val="es-ES"/>
        </w:rPr>
      </w:pPr>
      <w:hyperlink r:id="rId30" w:history="1">
        <w:r w:rsidR="00D73EDE" w:rsidRPr="00D73EDE">
          <w:rPr>
            <w:rStyle w:val="Hipervnculo"/>
          </w:rPr>
          <w:t>Resolución 114 de diciembre 21 de 2020</w:t>
        </w:r>
      </w:hyperlink>
      <w:r w:rsidR="00D73EDE">
        <w:t>: Con esta norma se habían establecido los códigos de actividades económicas que se necesitan mantener reportadas en el RUT de los administrados por la DIAN</w:t>
      </w:r>
    </w:p>
    <w:p w:rsidR="00D114DA" w:rsidRPr="00AD7F2A" w:rsidRDefault="00000000" w:rsidP="00DC0525">
      <w:pPr>
        <w:pStyle w:val="Prrafodelista"/>
        <w:numPr>
          <w:ilvl w:val="0"/>
          <w:numId w:val="1"/>
        </w:numPr>
        <w:rPr>
          <w:lang w:val="es-ES"/>
        </w:rPr>
      </w:pPr>
      <w:hyperlink r:id="rId31" w:history="1">
        <w:r w:rsidR="00D114DA" w:rsidRPr="00D114DA">
          <w:rPr>
            <w:rStyle w:val="Hipervnculo"/>
          </w:rPr>
          <w:t>Resolución 013 de febrero 11 de 2021</w:t>
        </w:r>
      </w:hyperlink>
      <w:r w:rsidR="00D114DA">
        <w:t>: Reglamenta el documento soporte de pago de nómina electrónica</w:t>
      </w:r>
    </w:p>
    <w:p w:rsidR="00AD7F2A" w:rsidRPr="00150048" w:rsidRDefault="00000000" w:rsidP="00DC0525">
      <w:pPr>
        <w:pStyle w:val="Prrafodelista"/>
        <w:numPr>
          <w:ilvl w:val="0"/>
          <w:numId w:val="1"/>
        </w:numPr>
        <w:rPr>
          <w:lang w:val="es-ES"/>
        </w:rPr>
      </w:pPr>
      <w:hyperlink r:id="rId32" w:history="1">
        <w:r w:rsidR="00AD7F2A" w:rsidRPr="00A13D70">
          <w:rPr>
            <w:rStyle w:val="Hipervnculo"/>
          </w:rPr>
          <w:t>Resolución 018 de febrero 17 de 2021</w:t>
        </w:r>
      </w:hyperlink>
      <w:r w:rsidR="00AD7F2A">
        <w:t xml:space="preserve">: prescribió el formulario </w:t>
      </w:r>
      <w:r w:rsidR="00A13D70">
        <w:t>150 para declaración de renta por cambio de titular de inversión extranjera años 2021 y siguientes</w:t>
      </w:r>
    </w:p>
    <w:p w:rsidR="00B54A6A" w:rsidRDefault="00000000" w:rsidP="00DC0525">
      <w:pPr>
        <w:pStyle w:val="Prrafodelista"/>
        <w:numPr>
          <w:ilvl w:val="0"/>
          <w:numId w:val="1"/>
        </w:numPr>
        <w:rPr>
          <w:lang w:val="es-ES"/>
        </w:rPr>
      </w:pPr>
      <w:hyperlink r:id="rId33" w:history="1">
        <w:r w:rsidR="00B54A6A" w:rsidRPr="00150048">
          <w:rPr>
            <w:rStyle w:val="Hipervnculo"/>
            <w:lang w:val="es-ES"/>
          </w:rPr>
          <w:t>Resolución 110 de octubre 11 de 2021</w:t>
        </w:r>
      </w:hyperlink>
      <w:r w:rsidR="00B54A6A" w:rsidRPr="00150048">
        <w:rPr>
          <w:lang w:val="es-ES"/>
        </w:rPr>
        <w:t>: con esta norma se había regulado el trámite de inscripción y actualización del Registro Único Tributario (RUT) a través de las Cámaras de Comercio, se establecen sus características técnicas y se dictan otras disposiciones</w:t>
      </w:r>
    </w:p>
    <w:p w:rsidR="006E0AD4" w:rsidRDefault="00000000" w:rsidP="00DC0525">
      <w:pPr>
        <w:pStyle w:val="Prrafodelista"/>
        <w:numPr>
          <w:ilvl w:val="0"/>
          <w:numId w:val="1"/>
        </w:numPr>
        <w:rPr>
          <w:lang w:val="es-ES"/>
        </w:rPr>
      </w:pPr>
      <w:hyperlink r:id="rId34" w:history="1">
        <w:r w:rsidR="006E0AD4" w:rsidRPr="006E0AD4">
          <w:rPr>
            <w:rStyle w:val="Hipervnculo"/>
            <w:lang w:val="es-ES"/>
          </w:rPr>
          <w:t>Resolución 164 de diciembre 27 de 2021</w:t>
        </w:r>
      </w:hyperlink>
      <w:r w:rsidR="006E0AD4">
        <w:rPr>
          <w:lang w:val="es-ES"/>
        </w:rPr>
        <w:t>: reguló la forma de cumplir con el RUB (registro único de beneficiarios finales)</w:t>
      </w:r>
    </w:p>
    <w:p w:rsidR="00DC0525" w:rsidRDefault="00000000" w:rsidP="00DC0525">
      <w:pPr>
        <w:pStyle w:val="Prrafodelista"/>
        <w:numPr>
          <w:ilvl w:val="0"/>
          <w:numId w:val="1"/>
        </w:numPr>
        <w:rPr>
          <w:lang w:val="es-ES"/>
        </w:rPr>
      </w:pPr>
      <w:hyperlink r:id="rId35" w:history="1">
        <w:r w:rsidR="00DC0525" w:rsidRPr="00D114DA">
          <w:rPr>
            <w:rStyle w:val="Hipervnculo"/>
            <w:lang w:val="es-ES"/>
          </w:rPr>
          <w:t>Resolución 167 de diciembre 30 de 2021</w:t>
        </w:r>
      </w:hyperlink>
      <w:r w:rsidR="00DC0525">
        <w:rPr>
          <w:lang w:val="es-ES"/>
        </w:rPr>
        <w:t xml:space="preserve">: reglamentó la generación del </w:t>
      </w:r>
      <w:r w:rsidR="00D114DA">
        <w:rPr>
          <w:lang w:val="es-ES"/>
        </w:rPr>
        <w:t>d</w:t>
      </w:r>
      <w:r w:rsidR="00DC0525" w:rsidRPr="00D114DA">
        <w:rPr>
          <w:lang w:val="es-ES"/>
        </w:rPr>
        <w:t>ocumento soporte en adquisiciones efectuadas a sujetos no obligados a expedir factura de venta o documento equivalente</w:t>
      </w:r>
      <w:r w:rsidR="00D114DA">
        <w:rPr>
          <w:lang w:val="es-ES"/>
        </w:rPr>
        <w:t>.</w:t>
      </w:r>
    </w:p>
    <w:p w:rsidR="00D114DA" w:rsidRDefault="00000000" w:rsidP="00DC0525">
      <w:pPr>
        <w:pStyle w:val="Prrafodelista"/>
        <w:numPr>
          <w:ilvl w:val="0"/>
          <w:numId w:val="1"/>
        </w:numPr>
        <w:rPr>
          <w:lang w:val="es-ES"/>
        </w:rPr>
      </w:pPr>
      <w:hyperlink r:id="rId36" w:history="1">
        <w:r w:rsidR="00D114DA" w:rsidRPr="00D114DA">
          <w:rPr>
            <w:rStyle w:val="Hipervnculo"/>
            <w:lang w:val="es-ES"/>
          </w:rPr>
          <w:t>Resolución 085 de abril 8 de 2022</w:t>
        </w:r>
      </w:hyperlink>
      <w:r w:rsidR="00D114DA">
        <w:rPr>
          <w:lang w:val="es-ES"/>
        </w:rPr>
        <w:t xml:space="preserve">: reglamentó </w:t>
      </w:r>
      <w:r w:rsidR="00D114DA" w:rsidRPr="00D114DA">
        <w:rPr>
          <w:lang w:val="es-ES"/>
        </w:rPr>
        <w:t>el registro de la factura electrónica de venta como título valor (RADIAN).</w:t>
      </w:r>
    </w:p>
    <w:p w:rsidR="00443D29" w:rsidRDefault="00000000" w:rsidP="00DC0525">
      <w:pPr>
        <w:pStyle w:val="Prrafodelista"/>
        <w:numPr>
          <w:ilvl w:val="0"/>
          <w:numId w:val="1"/>
        </w:numPr>
        <w:rPr>
          <w:lang w:val="es-ES"/>
        </w:rPr>
      </w:pPr>
      <w:hyperlink r:id="rId37" w:history="1">
        <w:r w:rsidR="00443D29" w:rsidRPr="00443D29">
          <w:rPr>
            <w:rStyle w:val="Hipervnculo"/>
            <w:lang w:val="es-ES"/>
          </w:rPr>
          <w:t>Resolución 0489 de abril 29 de 2022</w:t>
        </w:r>
      </w:hyperlink>
      <w:r w:rsidR="00443D29">
        <w:rPr>
          <w:lang w:val="es-ES"/>
        </w:rPr>
        <w:t xml:space="preserve">: </w:t>
      </w:r>
      <w:r w:rsidR="00443D29">
        <w:t>reglamentó la devolución del Impuesto sobre las Ventas -IVA a los turistas extranjeros</w:t>
      </w:r>
    </w:p>
    <w:p w:rsidR="004E7283" w:rsidRDefault="00000000" w:rsidP="00DC0525">
      <w:pPr>
        <w:pStyle w:val="Prrafodelista"/>
        <w:numPr>
          <w:ilvl w:val="0"/>
          <w:numId w:val="1"/>
        </w:numPr>
        <w:rPr>
          <w:lang w:val="es-ES"/>
        </w:rPr>
      </w:pPr>
      <w:hyperlink r:id="rId38" w:history="1">
        <w:r w:rsidR="004E7283" w:rsidRPr="004E7283">
          <w:rPr>
            <w:rStyle w:val="Hipervnculo"/>
            <w:lang w:val="es-ES"/>
          </w:rPr>
          <w:t>Resolución 1210 de agosto 5 de 2022</w:t>
        </w:r>
      </w:hyperlink>
      <w:r w:rsidR="004E7283">
        <w:rPr>
          <w:lang w:val="es-ES"/>
        </w:rPr>
        <w:t xml:space="preserve">: reglamentó </w:t>
      </w:r>
      <w:r w:rsidR="004E7283" w:rsidRPr="004E7283">
        <w:rPr>
          <w:lang w:val="es-ES"/>
        </w:rPr>
        <w:t xml:space="preserve">el procedimiento para la presentación de la Declaración Informativa de Precios de Transferencia – Formulario 120, la notificación del Informe País por País, así como la presentación del Informe Local y el Informe Maestro de la Documentación Comprobatoria y se adopta el contenido y las especificaciones técnicas de la información que debe </w:t>
      </w:r>
      <w:r w:rsidR="004E7283" w:rsidRPr="004E7283">
        <w:rPr>
          <w:lang w:val="es-ES"/>
        </w:rPr>
        <w:lastRenderedPageBreak/>
        <w:t>presentarse a través de los servicios informáticos electrónicos de la Unidad Administrativa Especial Dirección de Impuestos y Aduanas Nacionales (DIAN), para el año gravable 2021 y siguientes</w:t>
      </w:r>
      <w:r w:rsidR="004E7283">
        <w:rPr>
          <w:rFonts w:ascii="Roboto Condensed" w:hAnsi="Roboto Condensed"/>
          <w:color w:val="343536"/>
          <w:spacing w:val="2"/>
          <w:sz w:val="27"/>
          <w:szCs w:val="27"/>
          <w:shd w:val="clear" w:color="auto" w:fill="FFFFFF"/>
        </w:rPr>
        <w:t>.</w:t>
      </w:r>
    </w:p>
    <w:p w:rsidR="00524109" w:rsidRDefault="00000000" w:rsidP="00DC0525">
      <w:pPr>
        <w:pStyle w:val="Prrafodelista"/>
        <w:numPr>
          <w:ilvl w:val="0"/>
          <w:numId w:val="1"/>
        </w:numPr>
        <w:rPr>
          <w:lang w:val="es-ES"/>
        </w:rPr>
      </w:pPr>
      <w:hyperlink r:id="rId39" w:history="1">
        <w:r w:rsidR="00524109" w:rsidRPr="00524109">
          <w:rPr>
            <w:rStyle w:val="Hipervnculo"/>
            <w:lang w:val="es-ES"/>
          </w:rPr>
          <w:t>Resolución 1253 de octubre 24 de 2022</w:t>
        </w:r>
      </w:hyperlink>
      <w:r w:rsidR="00524109">
        <w:rPr>
          <w:lang w:val="es-ES"/>
        </w:rPr>
        <w:t xml:space="preserve">: con esta norma se habían </w:t>
      </w:r>
      <w:r w:rsidR="00524109" w:rsidRPr="00524109">
        <w:rPr>
          <w:lang w:val="es-ES"/>
        </w:rPr>
        <w:t>establecido los requisitos, causales y procedimiento para otorgar o retirar la calificación como Gran Contribuyente</w:t>
      </w:r>
    </w:p>
    <w:p w:rsidR="001B0DE3" w:rsidRDefault="00000000" w:rsidP="00DC0525">
      <w:pPr>
        <w:pStyle w:val="Prrafodelista"/>
        <w:numPr>
          <w:ilvl w:val="0"/>
          <w:numId w:val="1"/>
        </w:numPr>
        <w:rPr>
          <w:lang w:val="es-ES"/>
        </w:rPr>
      </w:pPr>
      <w:hyperlink r:id="rId40" w:history="1">
        <w:r w:rsidR="001B0DE3" w:rsidRPr="001B0DE3">
          <w:rPr>
            <w:rStyle w:val="Hipervnculo"/>
            <w:lang w:val="es-ES"/>
          </w:rPr>
          <w:t>Resolución 022 de febrero 14 de 2023</w:t>
        </w:r>
      </w:hyperlink>
      <w:r w:rsidR="001B0DE3">
        <w:rPr>
          <w:lang w:val="es-ES"/>
        </w:rPr>
        <w:t>: Prescribió el formulario 110 para las declaraciones de renta y de ingresos y patrimonio año gravable 2022 y siguientes</w:t>
      </w:r>
    </w:p>
    <w:p w:rsidR="00081096" w:rsidRDefault="00000000" w:rsidP="00DC0525">
      <w:pPr>
        <w:pStyle w:val="Prrafodelista"/>
        <w:numPr>
          <w:ilvl w:val="0"/>
          <w:numId w:val="1"/>
        </w:numPr>
        <w:rPr>
          <w:lang w:val="es-ES"/>
        </w:rPr>
      </w:pPr>
      <w:hyperlink r:id="rId41" w:history="1">
        <w:r w:rsidR="00081096" w:rsidRPr="00081096">
          <w:rPr>
            <w:rStyle w:val="Hipervnculo"/>
            <w:lang w:val="es-ES"/>
          </w:rPr>
          <w:t>Resolución 8742 de octubre 18 de 2023</w:t>
        </w:r>
      </w:hyperlink>
      <w:r w:rsidR="00081096">
        <w:rPr>
          <w:lang w:val="es-ES"/>
        </w:rPr>
        <w:t>: reglamentó el registro de los contratos de importación de tecnología (ver artículo 123 del ET)</w:t>
      </w:r>
    </w:p>
    <w:p w:rsidR="006E0AD4" w:rsidRDefault="00000000" w:rsidP="00DC0525">
      <w:pPr>
        <w:pStyle w:val="Prrafodelista"/>
        <w:numPr>
          <w:ilvl w:val="0"/>
          <w:numId w:val="1"/>
        </w:numPr>
        <w:rPr>
          <w:lang w:val="es-ES"/>
        </w:rPr>
      </w:pPr>
      <w:hyperlink r:id="rId42" w:history="1">
        <w:r w:rsidR="006E0AD4" w:rsidRPr="006E0AD4">
          <w:rPr>
            <w:rStyle w:val="Hipervnculo"/>
            <w:lang w:val="es-ES"/>
          </w:rPr>
          <w:t>Resolución 162 de octubre 31 de 2023</w:t>
        </w:r>
      </w:hyperlink>
      <w:r w:rsidR="006E0AD4">
        <w:rPr>
          <w:lang w:val="es-ES"/>
        </w:rPr>
        <w:t xml:space="preserve">: señaló a los obligados a entregar la información exógena tributaria de los años gravables 2024 y siguientes </w:t>
      </w:r>
    </w:p>
    <w:p w:rsidR="00DC0525" w:rsidRDefault="00000000" w:rsidP="00DC0525">
      <w:pPr>
        <w:pStyle w:val="Prrafodelista"/>
        <w:numPr>
          <w:ilvl w:val="0"/>
          <w:numId w:val="1"/>
        </w:numPr>
        <w:rPr>
          <w:lang w:val="es-ES"/>
        </w:rPr>
      </w:pPr>
      <w:hyperlink r:id="rId43" w:history="1">
        <w:r w:rsidR="00DC0525" w:rsidRPr="00DC0525">
          <w:rPr>
            <w:rStyle w:val="Hipervnculo"/>
            <w:lang w:val="es-ES"/>
          </w:rPr>
          <w:t>Resolución 165 de noviembre 1 de 2023</w:t>
        </w:r>
      </w:hyperlink>
      <w:r w:rsidR="00DC0525">
        <w:rPr>
          <w:lang w:val="es-ES"/>
        </w:rPr>
        <w:t>: Regula el sistema de facturación electrónica</w:t>
      </w:r>
    </w:p>
    <w:p w:rsidR="00A13D70" w:rsidRDefault="00000000" w:rsidP="00DC0525">
      <w:pPr>
        <w:pStyle w:val="Prrafodelista"/>
        <w:numPr>
          <w:ilvl w:val="0"/>
          <w:numId w:val="1"/>
        </w:numPr>
        <w:rPr>
          <w:lang w:val="es-ES"/>
        </w:rPr>
      </w:pPr>
      <w:hyperlink r:id="rId44" w:history="1">
        <w:r w:rsidR="00A13D70" w:rsidRPr="00A13D70">
          <w:rPr>
            <w:rStyle w:val="Hipervnculo"/>
            <w:lang w:val="es-ES"/>
          </w:rPr>
          <w:t>Resolución 044 de marzo 14 de 2024</w:t>
        </w:r>
      </w:hyperlink>
      <w:r w:rsidR="00A13D70">
        <w:rPr>
          <w:lang w:val="es-ES"/>
        </w:rPr>
        <w:t>: prescribió el formulario 210 para declaraciones de renta año gravable 2023 y siguientes</w:t>
      </w:r>
    </w:p>
    <w:p w:rsidR="00B62F44" w:rsidRDefault="00000000" w:rsidP="00DC0525">
      <w:pPr>
        <w:pStyle w:val="Prrafodelista"/>
        <w:numPr>
          <w:ilvl w:val="0"/>
          <w:numId w:val="1"/>
        </w:numPr>
        <w:rPr>
          <w:lang w:val="es-ES"/>
        </w:rPr>
      </w:pPr>
      <w:hyperlink r:id="rId45" w:history="1">
        <w:r w:rsidR="00B62F44" w:rsidRPr="00B62F44">
          <w:rPr>
            <w:rStyle w:val="Hipervnculo"/>
            <w:lang w:val="es-ES"/>
          </w:rPr>
          <w:t>Resolución 117 de julio 30 de 2024</w:t>
        </w:r>
      </w:hyperlink>
      <w:r w:rsidR="00B62F44">
        <w:rPr>
          <w:lang w:val="es-ES"/>
        </w:rPr>
        <w:t>: reglamentó la devolución de oficio de algunos saldos a favor en el impuesto de renta de personas naturales</w:t>
      </w:r>
    </w:p>
    <w:p w:rsidR="00151066" w:rsidRDefault="00000000" w:rsidP="00DC0525">
      <w:pPr>
        <w:pStyle w:val="Prrafodelista"/>
        <w:numPr>
          <w:ilvl w:val="0"/>
          <w:numId w:val="1"/>
        </w:numPr>
        <w:rPr>
          <w:lang w:val="es-ES"/>
        </w:rPr>
      </w:pPr>
      <w:hyperlink r:id="rId46" w:history="1">
        <w:r w:rsidR="00151066" w:rsidRPr="00151066">
          <w:rPr>
            <w:rStyle w:val="Hipervnculo"/>
            <w:lang w:val="es-ES"/>
          </w:rPr>
          <w:t>Resolución 193 de diciembre 4 de 2024</w:t>
        </w:r>
      </w:hyperlink>
      <w:r w:rsidR="00151066">
        <w:rPr>
          <w:lang w:val="es-ES"/>
        </w:rPr>
        <w:t>: con esta norma se había fijado el valor en pesos para la UVT durante el año 2025</w:t>
      </w:r>
    </w:p>
    <w:p w:rsidR="001B0DE3" w:rsidRDefault="00000000" w:rsidP="00DC0525">
      <w:pPr>
        <w:pStyle w:val="Prrafodelista"/>
        <w:numPr>
          <w:ilvl w:val="0"/>
          <w:numId w:val="1"/>
        </w:numPr>
        <w:rPr>
          <w:lang w:val="es-ES"/>
        </w:rPr>
      </w:pPr>
      <w:hyperlink r:id="rId47" w:history="1">
        <w:r w:rsidR="001B0DE3" w:rsidRPr="001B0DE3">
          <w:rPr>
            <w:rStyle w:val="Hipervnculo"/>
            <w:lang w:val="es-ES"/>
          </w:rPr>
          <w:t>Resolución 004 de enero 24 de 2025</w:t>
        </w:r>
      </w:hyperlink>
      <w:r w:rsidR="001B0DE3">
        <w:rPr>
          <w:lang w:val="es-ES"/>
        </w:rPr>
        <w:t xml:space="preserve">: </w:t>
      </w:r>
      <w:r w:rsidR="001B0DE3" w:rsidRPr="001B0DE3">
        <w:rPr>
          <w:lang w:val="es-ES"/>
        </w:rPr>
        <w:t>prescribió el formulario</w:t>
      </w:r>
      <w:r w:rsidR="001B0DE3">
        <w:rPr>
          <w:lang w:val="es-ES"/>
        </w:rPr>
        <w:t xml:space="preserve"> 115 para la </w:t>
      </w:r>
      <w:r w:rsidR="001B0DE3" w:rsidRPr="001B0DE3">
        <w:rPr>
          <w:lang w:val="es-ES"/>
        </w:rPr>
        <w:t>Declaración del impuesto sobre la renta y complementarios de contribuyentes con Presencia Económica Significativa (PES) en Colombia” para el año gravable 2024 y siguientes.</w:t>
      </w:r>
    </w:p>
    <w:p w:rsidR="001B0DE3" w:rsidRPr="00150048" w:rsidRDefault="00000000" w:rsidP="00DC0525">
      <w:pPr>
        <w:pStyle w:val="Prrafodelista"/>
        <w:numPr>
          <w:ilvl w:val="0"/>
          <w:numId w:val="1"/>
        </w:numPr>
        <w:rPr>
          <w:lang w:val="es-ES"/>
        </w:rPr>
      </w:pPr>
      <w:hyperlink r:id="rId48" w:history="1">
        <w:r w:rsidR="001B0DE3" w:rsidRPr="001B0DE3">
          <w:rPr>
            <w:rStyle w:val="Hipervnculo"/>
            <w:lang w:val="es-ES"/>
          </w:rPr>
          <w:t>Resolución 008 de enero 31 de 2025</w:t>
        </w:r>
      </w:hyperlink>
      <w:r w:rsidR="001B0DE3">
        <w:rPr>
          <w:lang w:val="es-ES"/>
        </w:rPr>
        <w:t>: Con esta norma se habían ajustado para el año 2025 las tarifas del impuesto nacional a la gasolina y el ACPM, y las tarifas del impuesto al carbono</w:t>
      </w:r>
    </w:p>
    <w:p w:rsidR="0031045E" w:rsidRPr="00B54A6A" w:rsidRDefault="00000000" w:rsidP="00DC0525">
      <w:pPr>
        <w:pStyle w:val="Prrafodelista"/>
        <w:numPr>
          <w:ilvl w:val="0"/>
          <w:numId w:val="1"/>
        </w:numPr>
        <w:rPr>
          <w:lang w:val="es-ES"/>
        </w:rPr>
      </w:pPr>
      <w:hyperlink r:id="rId49" w:history="1">
        <w:r w:rsidR="001935CA" w:rsidRPr="001935CA">
          <w:rPr>
            <w:rStyle w:val="Hipervnculo"/>
            <w:lang w:val="es-ES"/>
          </w:rPr>
          <w:t>Resolución 217 de junio 3 de 2025</w:t>
        </w:r>
      </w:hyperlink>
      <w:r w:rsidR="001935CA">
        <w:rPr>
          <w:lang w:val="es-ES"/>
        </w:rPr>
        <w:t>: c</w:t>
      </w:r>
      <w:r w:rsidR="001935CA" w:rsidRPr="00150048">
        <w:rPr>
          <w:lang w:val="es-ES"/>
        </w:rPr>
        <w:t>on esta norma se había</w:t>
      </w:r>
      <w:r w:rsidR="001935CA">
        <w:rPr>
          <w:lang w:val="es-ES"/>
        </w:rPr>
        <w:t>n precisado</w:t>
      </w:r>
      <w:r w:rsidR="001935CA" w:rsidRPr="001935CA">
        <w:rPr>
          <w:lang w:val="es-ES"/>
        </w:rPr>
        <w:t xml:space="preserve"> los requisitos, el procedimiento y las condiciones para la cancelación de oficio de la inscripción del Registro Único Tributario (RUT) por inactividad tributaria</w:t>
      </w:r>
    </w:p>
    <w:p w:rsidR="00B54A6A" w:rsidRDefault="00B54A6A" w:rsidP="00CA2405">
      <w:pPr>
        <w:rPr>
          <w:lang w:val="es-ES"/>
        </w:rPr>
      </w:pPr>
    </w:p>
    <w:p w:rsidR="00CA2405" w:rsidRPr="00CA2405" w:rsidRDefault="00CA2405" w:rsidP="00CA2405">
      <w:pPr>
        <w:pStyle w:val="Ttulo2"/>
        <w:rPr>
          <w:b/>
          <w:bCs/>
          <w:lang w:val="es-ES"/>
        </w:rPr>
      </w:pPr>
      <w:r w:rsidRPr="00CA2405">
        <w:rPr>
          <w:b/>
          <w:bCs/>
          <w:lang w:val="es-ES"/>
        </w:rPr>
        <w:t xml:space="preserve">Resoluciones que no quedaron recopiladas en la Resolución </w:t>
      </w:r>
      <w:proofErr w:type="spellStart"/>
      <w:r w:rsidRPr="00CA2405">
        <w:rPr>
          <w:b/>
          <w:bCs/>
          <w:lang w:val="es-ES"/>
        </w:rPr>
        <w:t>Unica</w:t>
      </w:r>
      <w:proofErr w:type="spellEnd"/>
      <w:r w:rsidRPr="00CA2405">
        <w:rPr>
          <w:b/>
          <w:bCs/>
          <w:lang w:val="es-ES"/>
        </w:rPr>
        <w:t xml:space="preserve"> 227 de 2025</w:t>
      </w:r>
    </w:p>
    <w:p w:rsidR="00CA2405" w:rsidRPr="00DB3E6B" w:rsidRDefault="00CA2405" w:rsidP="00CA2405">
      <w:pPr>
        <w:rPr>
          <w:lang w:val="es-ES"/>
        </w:rPr>
      </w:pPr>
      <w:r>
        <w:rPr>
          <w:lang w:val="es-ES"/>
        </w:rPr>
        <w:t xml:space="preserve">Es importante mencionar que en el cuerpo de la Resolución </w:t>
      </w:r>
      <w:proofErr w:type="spellStart"/>
      <w:r>
        <w:rPr>
          <w:lang w:val="es-ES"/>
        </w:rPr>
        <w:t>Unica</w:t>
      </w:r>
      <w:proofErr w:type="spellEnd"/>
      <w:r>
        <w:rPr>
          <w:lang w:val="es-ES"/>
        </w:rPr>
        <w:t xml:space="preserve"> 227 de 2025 no se recopilaron los textos de otras resoluciones importantes como </w:t>
      </w:r>
      <w:hyperlink r:id="rId50" w:history="1">
        <w:r w:rsidRPr="00CA2405">
          <w:rPr>
            <w:rStyle w:val="Hipervnculo"/>
            <w:lang w:val="es-ES"/>
          </w:rPr>
          <w:t>la 200 de diciembre 27 de 2024 (con la cual se creó el listado de los 2.659 contribuyentes que serían considerados “Grandes Contribuyentes durante los años 2025 y 2026)</w:t>
        </w:r>
      </w:hyperlink>
      <w:r>
        <w:rPr>
          <w:lang w:val="es-ES"/>
        </w:rPr>
        <w:t xml:space="preserve">, ni la </w:t>
      </w:r>
      <w:hyperlink r:id="rId51" w:history="1">
        <w:r w:rsidRPr="001D38E8">
          <w:rPr>
            <w:rStyle w:val="Hipervnculo"/>
            <w:lang w:val="es-ES"/>
          </w:rPr>
          <w:t>203</w:t>
        </w:r>
        <w:r w:rsidR="001D38E8" w:rsidRPr="001D38E8">
          <w:rPr>
            <w:rStyle w:val="Hipervnculo"/>
            <w:lang w:val="es-ES"/>
          </w:rPr>
          <w:t xml:space="preserve"> de diciembre 31 de 2024 (con el listado de los inscritos en el régimen simple durante el año 2023)</w:t>
        </w:r>
      </w:hyperlink>
    </w:p>
    <w:sectPr w:rsidR="00CA2405" w:rsidRPr="00DB3E6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Roboto Condensed">
    <w:panose1 w:val="02000000000000000000"/>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D783F"/>
    <w:multiLevelType w:val="hybridMultilevel"/>
    <w:tmpl w:val="8418FF5A"/>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73166FB"/>
    <w:multiLevelType w:val="multilevel"/>
    <w:tmpl w:val="16BEED5A"/>
    <w:styleLink w:val="Listaactual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33613893">
    <w:abstractNumId w:val="0"/>
  </w:num>
  <w:num w:numId="2" w16cid:durableId="21242276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B53"/>
    <w:rsid w:val="0003625B"/>
    <w:rsid w:val="00081096"/>
    <w:rsid w:val="00150048"/>
    <w:rsid w:val="00151066"/>
    <w:rsid w:val="001935CA"/>
    <w:rsid w:val="001A7DA7"/>
    <w:rsid w:val="001B0DE3"/>
    <w:rsid w:val="001D38E8"/>
    <w:rsid w:val="0031045E"/>
    <w:rsid w:val="00320B53"/>
    <w:rsid w:val="00402441"/>
    <w:rsid w:val="00443D29"/>
    <w:rsid w:val="004732E0"/>
    <w:rsid w:val="004D0B9D"/>
    <w:rsid w:val="004E7283"/>
    <w:rsid w:val="0052116A"/>
    <w:rsid w:val="00524109"/>
    <w:rsid w:val="005A49B2"/>
    <w:rsid w:val="005C3583"/>
    <w:rsid w:val="00685F32"/>
    <w:rsid w:val="00693C11"/>
    <w:rsid w:val="006E0AD4"/>
    <w:rsid w:val="007371D4"/>
    <w:rsid w:val="00770C39"/>
    <w:rsid w:val="00A13D70"/>
    <w:rsid w:val="00AD7F2A"/>
    <w:rsid w:val="00B54A6A"/>
    <w:rsid w:val="00B62F44"/>
    <w:rsid w:val="00CA2405"/>
    <w:rsid w:val="00CA60BC"/>
    <w:rsid w:val="00D114DA"/>
    <w:rsid w:val="00D73EDE"/>
    <w:rsid w:val="00DB3E6B"/>
    <w:rsid w:val="00DC0525"/>
    <w:rsid w:val="00E730F8"/>
    <w:rsid w:val="00E93119"/>
    <w:rsid w:val="00F010D0"/>
    <w:rsid w:val="00F1062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8EE81"/>
  <w15:chartTrackingRefBased/>
  <w15:docId w15:val="{7A996CB5-CB68-6E44-B185-0D2AED92A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D38E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31045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4732E0"/>
    <w:rPr>
      <w:color w:val="0563C1" w:themeColor="hyperlink"/>
      <w:u w:val="single"/>
    </w:rPr>
  </w:style>
  <w:style w:type="character" w:styleId="Mencinsinresolver">
    <w:name w:val="Unresolved Mention"/>
    <w:basedOn w:val="Fuentedeprrafopredeter"/>
    <w:uiPriority w:val="99"/>
    <w:semiHidden/>
    <w:unhideWhenUsed/>
    <w:rsid w:val="004732E0"/>
    <w:rPr>
      <w:color w:val="605E5C"/>
      <w:shd w:val="clear" w:color="auto" w:fill="E1DFDD"/>
    </w:rPr>
  </w:style>
  <w:style w:type="paragraph" w:styleId="Prrafodelista">
    <w:name w:val="List Paragraph"/>
    <w:basedOn w:val="Normal"/>
    <w:uiPriority w:val="34"/>
    <w:qFormat/>
    <w:rsid w:val="00B54A6A"/>
    <w:pPr>
      <w:ind w:left="720"/>
      <w:contextualSpacing/>
    </w:pPr>
  </w:style>
  <w:style w:type="character" w:customStyle="1" w:styleId="Ttulo2Car">
    <w:name w:val="Título 2 Car"/>
    <w:basedOn w:val="Fuentedeprrafopredeter"/>
    <w:link w:val="Ttulo2"/>
    <w:uiPriority w:val="9"/>
    <w:rsid w:val="0031045E"/>
    <w:rPr>
      <w:rFonts w:asciiTheme="majorHAnsi" w:eastAsiaTheme="majorEastAsia" w:hAnsiTheme="majorHAnsi" w:cstheme="majorBidi"/>
      <w:color w:val="2F5496" w:themeColor="accent1" w:themeShade="BF"/>
      <w:sz w:val="26"/>
      <w:szCs w:val="26"/>
    </w:rPr>
  </w:style>
  <w:style w:type="numbering" w:customStyle="1" w:styleId="Listaactual1">
    <w:name w:val="Lista actual1"/>
    <w:uiPriority w:val="99"/>
    <w:rsid w:val="00DC0525"/>
    <w:pPr>
      <w:numPr>
        <w:numId w:val="2"/>
      </w:numPr>
    </w:pPr>
  </w:style>
  <w:style w:type="character" w:customStyle="1" w:styleId="Ttulo1Car">
    <w:name w:val="Título 1 Car"/>
    <w:basedOn w:val="Fuentedeprrafopredeter"/>
    <w:link w:val="Ttulo1"/>
    <w:uiPriority w:val="9"/>
    <w:rsid w:val="001D38E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ormograma.dian.gov.co/dian/compilacion/docs/resolucion_dian_0151_2012.htm" TargetMode="External"/><Relationship Id="rId18" Type="http://schemas.openxmlformats.org/officeDocument/2006/relationships/hyperlink" Target="https://normograma.dian.gov.co/dian/compilacion/docs/resolucion_dian_0019_2018.htm" TargetMode="External"/><Relationship Id="rId26" Type="http://schemas.openxmlformats.org/officeDocument/2006/relationships/hyperlink" Target="https://normograma.dian.gov.co/dian/compilacion/docs/estatuto_tributario.htm" TargetMode="External"/><Relationship Id="rId39" Type="http://schemas.openxmlformats.org/officeDocument/2006/relationships/hyperlink" Target="https://normograma.dian.gov.co/dian/compilacion/docs/resolucion_dian_1253_2022.htm" TargetMode="External"/><Relationship Id="rId21" Type="http://schemas.openxmlformats.org/officeDocument/2006/relationships/hyperlink" Target="https://www.dian.gov.co/normatividad/Normatividad/Resoluci%C3%B3n%20000051%20de%2006-08-2019.pdf" TargetMode="External"/><Relationship Id="rId34" Type="http://schemas.openxmlformats.org/officeDocument/2006/relationships/hyperlink" Target="https://normograma.dian.gov.co/dian/compilacion/docs/resolucion_dian_0164_2021.htm" TargetMode="External"/><Relationship Id="rId42" Type="http://schemas.openxmlformats.org/officeDocument/2006/relationships/hyperlink" Target="https://normograma.dian.gov.co/dian/compilacion/docs/resolucion_dian_0162_2023.htm" TargetMode="External"/><Relationship Id="rId47" Type="http://schemas.openxmlformats.org/officeDocument/2006/relationships/hyperlink" Target="https://normograma.dian.gov.co/dian/compilacion/docs/resolucion_dian_0004_2025.htm" TargetMode="External"/><Relationship Id="rId50" Type="http://schemas.openxmlformats.org/officeDocument/2006/relationships/hyperlink" Target="https://actualicese.com/listado-de-grandes-contribuyentes-para-los-anos-2025-y-2026-fue-definido-por-la-dian/" TargetMode="External"/><Relationship Id="rId7" Type="http://schemas.openxmlformats.org/officeDocument/2006/relationships/hyperlink" Target="https://actualicese.com/archivo/estructura-general-del-decreto-unico-tributario-1625-de-2016/" TargetMode="External"/><Relationship Id="rId2" Type="http://schemas.openxmlformats.org/officeDocument/2006/relationships/styles" Target="styles.xml"/><Relationship Id="rId16" Type="http://schemas.openxmlformats.org/officeDocument/2006/relationships/hyperlink" Target="https://normograma.dian.gov.co/dian/compilacion/docs/resolucion_dian_0006_2017.htm" TargetMode="External"/><Relationship Id="rId29" Type="http://schemas.openxmlformats.org/officeDocument/2006/relationships/hyperlink" Target="https://normograma.dian.gov.co/dian/compilacion/docs/estatuto_tributario.htm" TargetMode="External"/><Relationship Id="rId11" Type="http://schemas.openxmlformats.org/officeDocument/2006/relationships/hyperlink" Target="https://normograma.dian.gov.co/dian/compilacion/docs/resolucion_dian_15734_2007.htm" TargetMode="External"/><Relationship Id="rId24" Type="http://schemas.openxmlformats.org/officeDocument/2006/relationships/hyperlink" Target="https://normograma.dian.gov.co/dian/compilacion/docs/resolucion_dian_0019_2020.htm" TargetMode="External"/><Relationship Id="rId32" Type="http://schemas.openxmlformats.org/officeDocument/2006/relationships/hyperlink" Target="https://normograma.dian.gov.co/dian/compilacion/docs/resolucion_dian_0018_2021.htm" TargetMode="External"/><Relationship Id="rId37" Type="http://schemas.openxmlformats.org/officeDocument/2006/relationships/hyperlink" Target="https://www.dian.gov.co/normatividad/Normatividad/Resoluci%C3%B3n%20000489%20de%2029-04-2022.pdf" TargetMode="External"/><Relationship Id="rId40" Type="http://schemas.openxmlformats.org/officeDocument/2006/relationships/hyperlink" Target="https://normograma.dian.gov.co/dian/compilacion/docs/resolucion_dian_0022_2023.htm" TargetMode="External"/><Relationship Id="rId45" Type="http://schemas.openxmlformats.org/officeDocument/2006/relationships/hyperlink" Target="https://www.dian.gov.co/normatividad/Normatividad/Resoluci%C3%B3n%20000117%20de%2030-07-2024.Pdf" TargetMode="External"/><Relationship Id="rId53" Type="http://schemas.openxmlformats.org/officeDocument/2006/relationships/theme" Target="theme/theme1.xml"/><Relationship Id="rId5" Type="http://schemas.openxmlformats.org/officeDocument/2006/relationships/hyperlink" Target="https://www.dian.gov.co/Prensa/Paginas/NG-Proyecto-Resolucion-Unica.aspx" TargetMode="External"/><Relationship Id="rId10" Type="http://schemas.openxmlformats.org/officeDocument/2006/relationships/hyperlink" Target="https://normograma.dian.gov.co/dian/compilacion/docs/resolucion_dian_5062_2007.htm" TargetMode="External"/><Relationship Id="rId19" Type="http://schemas.openxmlformats.org/officeDocument/2006/relationships/hyperlink" Target="https://normograma.dian.gov.co/dian/compilacion/docs/resolucion_dian_0051_2018.htm" TargetMode="External"/><Relationship Id="rId31" Type="http://schemas.openxmlformats.org/officeDocument/2006/relationships/hyperlink" Target="https://normograma.dian.gov.co/dian/compilacion/docs/resolucion_dian_0013_2021.htm" TargetMode="External"/><Relationship Id="rId44" Type="http://schemas.openxmlformats.org/officeDocument/2006/relationships/hyperlink" Target="https://normograma.dian.gov.co/dian/compilacion/docs/resolucion_dian_0044_2024.htm"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normograma.dian.gov.co/dian/compilacion/docs/resolucion_dian_1767_2006.htm" TargetMode="External"/><Relationship Id="rId14" Type="http://schemas.openxmlformats.org/officeDocument/2006/relationships/hyperlink" Target="https://normograma.dian.gov.co/dian/compilacion/docs/resolucion_dian_0132_2015.htm" TargetMode="External"/><Relationship Id="rId22" Type="http://schemas.openxmlformats.org/officeDocument/2006/relationships/hyperlink" Target="https://normograma.dian.gov.co/dian/compilacion/docs/resolucion_dian_0071_2019.htm" TargetMode="External"/><Relationship Id="rId27" Type="http://schemas.openxmlformats.org/officeDocument/2006/relationships/hyperlink" Target="https://normograma.dian.gov.co/dian/compilacion/docs/estatuto_tributario.htm" TargetMode="External"/><Relationship Id="rId30" Type="http://schemas.openxmlformats.org/officeDocument/2006/relationships/hyperlink" Target="https://normograma.dian.gov.co/dian/compilacion/docs/resolucion_dian_0114_2020.htm" TargetMode="External"/><Relationship Id="rId35" Type="http://schemas.openxmlformats.org/officeDocument/2006/relationships/hyperlink" Target="desarrolla%20el%20registro%20de%20la%20factura%20electro&#769;nica%20de%20venta%20como%20ti&#769;tulo%20valor,%20se%20expide%20el%20anexo%20te&#769;cnico%20correspondiente%20y%20se%20dictan%20otras%20disposiciones." TargetMode="External"/><Relationship Id="rId43" Type="http://schemas.openxmlformats.org/officeDocument/2006/relationships/hyperlink" Target="https://normograma.dian.gov.co/dian/compilacion/docs/resolucion_dian_0165_2023.htm" TargetMode="External"/><Relationship Id="rId48" Type="http://schemas.openxmlformats.org/officeDocument/2006/relationships/hyperlink" Target="https://www.dian.gov.co/normatividad/Normatividad/Resoluci%C3%B3n%20000008%20de%2031-01-2025.pdf" TargetMode="External"/><Relationship Id="rId8" Type="http://schemas.openxmlformats.org/officeDocument/2006/relationships/hyperlink" Target="https://normograma.dian.gov.co/dian/compilacion/docs/resolucion_dian_8346_2004.htm" TargetMode="External"/><Relationship Id="rId51" Type="http://schemas.openxmlformats.org/officeDocument/2006/relationships/hyperlink" Target="https://www.dian.gov.co/normatividad/Normatividad/Resoluci%C3%B3n%20000203%20de%2031-12-2024.pdf" TargetMode="External"/><Relationship Id="rId3" Type="http://schemas.openxmlformats.org/officeDocument/2006/relationships/settings" Target="settings.xml"/><Relationship Id="rId12" Type="http://schemas.openxmlformats.org/officeDocument/2006/relationships/hyperlink" Target="https://normograma.dian.gov.co/dian/compilacion/docs/resolucion_dian_12761_2011.htm" TargetMode="External"/><Relationship Id="rId17" Type="http://schemas.openxmlformats.org/officeDocument/2006/relationships/hyperlink" Target="https://normograma.dian.gov.co/dian/compilacion/docs/resolucion_dian_0055_2017.htm" TargetMode="External"/><Relationship Id="rId25" Type="http://schemas.openxmlformats.org/officeDocument/2006/relationships/hyperlink" Target="https://normograma.dian.gov.co/dian/compilacion/docs/resolucion_dian_0038_2020.htm" TargetMode="External"/><Relationship Id="rId33" Type="http://schemas.openxmlformats.org/officeDocument/2006/relationships/hyperlink" Target="https://normograma.dian.gov.co/dian/compilacion/docs/resolucion_dian_0110_2021.htm" TargetMode="External"/><Relationship Id="rId38" Type="http://schemas.openxmlformats.org/officeDocument/2006/relationships/hyperlink" Target="https://normograma.dian.gov.co/dian/compilacion/docs/resolucion_dian_1210_2022.htm" TargetMode="External"/><Relationship Id="rId46" Type="http://schemas.openxmlformats.org/officeDocument/2006/relationships/hyperlink" Target="https://www.dian.gov.co/normatividad/Normatividad/Resoluci%C3%B3n%20000193%20de%2004-12-2024.pdf" TargetMode="External"/><Relationship Id="rId20" Type="http://schemas.openxmlformats.org/officeDocument/2006/relationships/hyperlink" Target="https://normograma.dian.gov.co/dian/compilacion/docs/resolucion_dian_5707_2019.htm" TargetMode="External"/><Relationship Id="rId41" Type="http://schemas.openxmlformats.org/officeDocument/2006/relationships/hyperlink" Target="https://www.dian.gov.co/normatividad/Normatividad/Resoluci%C3%B3n%20008742%20de%2018-10-2023.pdf" TargetMode="External"/><Relationship Id="rId1" Type="http://schemas.openxmlformats.org/officeDocument/2006/relationships/numbering" Target="numbering.xml"/><Relationship Id="rId6" Type="http://schemas.openxmlformats.org/officeDocument/2006/relationships/hyperlink" Target="https://www.dian.gov.co/normatividad/Paginas/Resolucion-000227-del-23092025.aspx" TargetMode="External"/><Relationship Id="rId15" Type="http://schemas.openxmlformats.org/officeDocument/2006/relationships/hyperlink" Target="https://normograma.dian.gov.co/dian/compilacion/docs/resolucion_dian_0070_2016.htm" TargetMode="External"/><Relationship Id="rId23" Type="http://schemas.openxmlformats.org/officeDocument/2006/relationships/hyperlink" Target="https://normograma.dian.gov.co/dian/compilacion/docs/resolucion_dian_0017_2020.htm" TargetMode="External"/><Relationship Id="rId28" Type="http://schemas.openxmlformats.org/officeDocument/2006/relationships/hyperlink" Target="https://normograma.dian.gov.co/dian/compilacion/docs/estatuto_tributario.htm" TargetMode="External"/><Relationship Id="rId36" Type="http://schemas.openxmlformats.org/officeDocument/2006/relationships/hyperlink" Target="https://normograma.dian.gov.co/dian/compilacion/docs/resolucion_dian_0085_2022.htm" TargetMode="External"/><Relationship Id="rId49" Type="http://schemas.openxmlformats.org/officeDocument/2006/relationships/hyperlink" Target="https://normograma.dian.gov.co/dian/compilacion/docs/resolucion_dian_0217_2025.h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4</Pages>
  <Words>2296</Words>
  <Characters>12632</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guevara</dc:creator>
  <cp:keywords/>
  <dc:description/>
  <cp:lastModifiedBy>diego guevara</cp:lastModifiedBy>
  <cp:revision>24</cp:revision>
  <dcterms:created xsi:type="dcterms:W3CDTF">2025-09-26T18:03:00Z</dcterms:created>
  <dcterms:modified xsi:type="dcterms:W3CDTF">2025-11-20T23:06:00Z</dcterms:modified>
</cp:coreProperties>
</file>